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4025">
        <w:rPr>
          <w:rFonts w:ascii="MS Shell Dlg 2" w:hAnsi="MS Shell Dlg 2" w:cs="MS Shell Dlg 2"/>
          <w:noProof/>
          <w:sz w:val="40"/>
          <w:szCs w:val="40"/>
          <w:u w:val="single"/>
        </w:rPr>
        <w:t xml:space="preserve">Formulation </w:t>
      </w:r>
      <w:r w:rsidR="00A878FE">
        <w:rPr>
          <w:rFonts w:ascii="MS Shell Dlg 2" w:hAnsi="MS Shell Dlg 2" w:cs="MS Shell Dlg 2"/>
          <w:noProof/>
          <w:sz w:val="40"/>
          <w:szCs w:val="40"/>
          <w:u w:val="single"/>
        </w:rPr>
        <w:t>Baron - Ollivier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A878FE" w:rsidRDefault="00A878FE" w:rsidP="00A878FE">
      <w:r>
        <w:t>L’onglet se présente sous la forme suivante :</w:t>
      </w:r>
    </w:p>
    <w:p w:rsidR="00A878FE" w:rsidRDefault="00A878FE" w:rsidP="00A878FE">
      <w:pPr>
        <w:keepNext/>
      </w:pPr>
      <w:r>
        <w:rPr>
          <w:noProof/>
        </w:rPr>
        <w:drawing>
          <wp:inline distT="0" distB="0" distL="0" distR="0" wp14:anchorId="488914AB" wp14:editId="4DEAC0CF">
            <wp:extent cx="5759450" cy="872490"/>
            <wp:effectExtent l="19050" t="19050" r="12700" b="2286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7249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78FE" w:rsidRDefault="00A878FE" w:rsidP="00A878FE">
      <w:pPr>
        <w:pStyle w:val="Lgende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17</w:t>
      </w:r>
      <w:r>
        <w:fldChar w:fldCharType="end"/>
      </w:r>
      <w:r>
        <w:t xml:space="preserve"> - Onglet Formulation Baron-Ollivier</w:t>
      </w:r>
    </w:p>
    <w:p w:rsidR="00A878FE" w:rsidRDefault="00A878FE" w:rsidP="00A878FE">
      <w:r>
        <w:t>La méthode impose de majorer le volume d’eau et d’air prévue dans le tableau D (voir tableau ci-dessous) en cas de granulats concassés.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1937"/>
        <w:gridCol w:w="1937"/>
        <w:gridCol w:w="1938"/>
      </w:tblGrid>
      <w:tr w:rsidR="00A878FE" w:rsidTr="00FE306E">
        <w:tc>
          <w:tcPr>
            <w:tcW w:w="2263" w:type="dxa"/>
            <w:shd w:val="clear" w:color="auto" w:fill="DBE5F1" w:themeFill="accent1" w:themeFillTint="33"/>
            <w:vAlign w:val="center"/>
          </w:tcPr>
          <w:p w:rsidR="00A878FE" w:rsidRPr="00E32F95" w:rsidRDefault="00A878FE" w:rsidP="00FE306E">
            <w:pPr>
              <w:jc w:val="center"/>
              <w:rPr>
                <w:b/>
              </w:rPr>
            </w:pPr>
            <w:r w:rsidRPr="00E32F95">
              <w:rPr>
                <w:b/>
              </w:rPr>
              <w:t>Consistance</w:t>
            </w:r>
          </w:p>
        </w:tc>
        <w:tc>
          <w:tcPr>
            <w:tcW w:w="1937" w:type="dxa"/>
            <w:shd w:val="clear" w:color="auto" w:fill="DBE5F1" w:themeFill="accent1" w:themeFillTint="33"/>
            <w:vAlign w:val="center"/>
          </w:tcPr>
          <w:p w:rsidR="00A878FE" w:rsidRPr="00E32F95" w:rsidRDefault="00A878FE" w:rsidP="00FE306E">
            <w:pPr>
              <w:jc w:val="center"/>
              <w:rPr>
                <w:b/>
              </w:rPr>
            </w:pPr>
            <w:r w:rsidRPr="00E32F95">
              <w:rPr>
                <w:b/>
              </w:rPr>
              <w:t>Affaissement au cône</w:t>
            </w:r>
          </w:p>
          <w:p w:rsidR="00A878FE" w:rsidRPr="00E32F95" w:rsidRDefault="00A878FE" w:rsidP="00FE306E">
            <w:pPr>
              <w:jc w:val="center"/>
              <w:rPr>
                <w:b/>
              </w:rPr>
            </w:pPr>
            <w:r w:rsidRPr="00E32F95">
              <w:rPr>
                <w:b/>
              </w:rPr>
              <w:t>(cm)</w:t>
            </w:r>
          </w:p>
        </w:tc>
        <w:tc>
          <w:tcPr>
            <w:tcW w:w="1937" w:type="dxa"/>
            <w:shd w:val="clear" w:color="auto" w:fill="DBE5F1" w:themeFill="accent1" w:themeFillTint="33"/>
            <w:vAlign w:val="center"/>
          </w:tcPr>
          <w:p w:rsidR="00A878FE" w:rsidRPr="00E32F95" w:rsidRDefault="00A878FE" w:rsidP="00FE306E">
            <w:pPr>
              <w:jc w:val="center"/>
              <w:rPr>
                <w:b/>
              </w:rPr>
            </w:pPr>
            <w:r w:rsidRPr="00E32F95">
              <w:rPr>
                <w:b/>
              </w:rPr>
              <w:t>Eau (E)</w:t>
            </w:r>
          </w:p>
          <w:p w:rsidR="00A878FE" w:rsidRPr="00E32F95" w:rsidRDefault="00A878FE" w:rsidP="00FE306E">
            <w:pPr>
              <w:jc w:val="center"/>
              <w:rPr>
                <w:b/>
              </w:rPr>
            </w:pPr>
            <w:r w:rsidRPr="00E32F95">
              <w:rPr>
                <w:b/>
              </w:rPr>
              <w:t>(L/m</w:t>
            </w:r>
            <w:r w:rsidRPr="00E32F95">
              <w:rPr>
                <w:b/>
                <w:vertAlign w:val="superscript"/>
              </w:rPr>
              <w:t>3</w:t>
            </w:r>
            <w:r w:rsidRPr="00E32F95">
              <w:rPr>
                <w:b/>
              </w:rPr>
              <w:t>)</w:t>
            </w:r>
          </w:p>
        </w:tc>
        <w:tc>
          <w:tcPr>
            <w:tcW w:w="1938" w:type="dxa"/>
            <w:shd w:val="clear" w:color="auto" w:fill="DBE5F1" w:themeFill="accent1" w:themeFillTint="33"/>
            <w:vAlign w:val="center"/>
          </w:tcPr>
          <w:p w:rsidR="00A878FE" w:rsidRPr="00E32F95" w:rsidRDefault="00A878FE" w:rsidP="00FE306E">
            <w:pPr>
              <w:jc w:val="center"/>
              <w:rPr>
                <w:b/>
              </w:rPr>
            </w:pPr>
            <w:r w:rsidRPr="00E32F95">
              <w:rPr>
                <w:b/>
              </w:rPr>
              <w:t>Air (a)</w:t>
            </w:r>
          </w:p>
          <w:p w:rsidR="00A878FE" w:rsidRPr="00E32F95" w:rsidRDefault="00A878FE" w:rsidP="00FE306E">
            <w:pPr>
              <w:jc w:val="center"/>
              <w:rPr>
                <w:b/>
              </w:rPr>
            </w:pPr>
            <w:r w:rsidRPr="00E32F95">
              <w:rPr>
                <w:b/>
              </w:rPr>
              <w:t>(L/m</w:t>
            </w:r>
            <w:r w:rsidRPr="00E32F95">
              <w:rPr>
                <w:b/>
                <w:vertAlign w:val="superscript"/>
              </w:rPr>
              <w:t>3</w:t>
            </w:r>
            <w:r w:rsidRPr="00E32F95">
              <w:rPr>
                <w:b/>
              </w:rPr>
              <w:t>)</w:t>
            </w:r>
          </w:p>
        </w:tc>
      </w:tr>
      <w:tr w:rsidR="00A878FE" w:rsidTr="00FE306E">
        <w:tc>
          <w:tcPr>
            <w:tcW w:w="2263" w:type="dxa"/>
          </w:tcPr>
          <w:p w:rsidR="00A878FE" w:rsidRDefault="00A878FE" w:rsidP="00FE306E">
            <w:r>
              <w:t xml:space="preserve">Ferme                  </w:t>
            </w:r>
            <w:proofErr w:type="gramStart"/>
            <w:r>
              <w:t xml:space="preserve">   (</w:t>
            </w:r>
            <w:proofErr w:type="gramEnd"/>
            <w:r>
              <w:t>F)</w:t>
            </w:r>
          </w:p>
          <w:p w:rsidR="00A878FE" w:rsidRDefault="00A878FE" w:rsidP="00FE306E">
            <w:r>
              <w:t xml:space="preserve">Plastique             </w:t>
            </w:r>
            <w:proofErr w:type="gramStart"/>
            <w:r>
              <w:t xml:space="preserve">   (</w:t>
            </w:r>
            <w:proofErr w:type="gramEnd"/>
            <w:r>
              <w:t>P)</w:t>
            </w:r>
          </w:p>
          <w:p w:rsidR="00A878FE" w:rsidRDefault="00A878FE" w:rsidP="00FE306E">
            <w:r>
              <w:t>Très Plastique       (TP)</w:t>
            </w:r>
          </w:p>
        </w:tc>
        <w:tc>
          <w:tcPr>
            <w:tcW w:w="1937" w:type="dxa"/>
          </w:tcPr>
          <w:p w:rsidR="00A878FE" w:rsidRDefault="00A878FE" w:rsidP="00FE306E">
            <w:pPr>
              <w:jc w:val="center"/>
            </w:pPr>
            <w:r>
              <w:t>0 – 4</w:t>
            </w:r>
          </w:p>
          <w:p w:rsidR="00A878FE" w:rsidRDefault="00A878FE" w:rsidP="00FE306E">
            <w:pPr>
              <w:jc w:val="center"/>
            </w:pPr>
            <w:r>
              <w:t>5 – 9</w:t>
            </w:r>
          </w:p>
          <w:p w:rsidR="00A878FE" w:rsidRDefault="00A878FE" w:rsidP="00FE306E">
            <w:pPr>
              <w:jc w:val="center"/>
            </w:pPr>
            <w:r>
              <w:t>10 – 15</w:t>
            </w:r>
          </w:p>
        </w:tc>
        <w:tc>
          <w:tcPr>
            <w:tcW w:w="1937" w:type="dxa"/>
          </w:tcPr>
          <w:p w:rsidR="00A878FE" w:rsidRDefault="00A878FE" w:rsidP="00FE306E">
            <w:pPr>
              <w:jc w:val="center"/>
            </w:pPr>
            <w:r>
              <w:t>160</w:t>
            </w:r>
          </w:p>
          <w:p w:rsidR="00A878FE" w:rsidRDefault="00A878FE" w:rsidP="00FE306E">
            <w:pPr>
              <w:jc w:val="center"/>
            </w:pPr>
            <w:r>
              <w:t>190</w:t>
            </w:r>
          </w:p>
          <w:p w:rsidR="00A878FE" w:rsidRDefault="00A878FE" w:rsidP="00FE306E">
            <w:pPr>
              <w:jc w:val="center"/>
            </w:pPr>
            <w:r>
              <w:t>210</w:t>
            </w:r>
          </w:p>
        </w:tc>
        <w:tc>
          <w:tcPr>
            <w:tcW w:w="1938" w:type="dxa"/>
          </w:tcPr>
          <w:p w:rsidR="00A878FE" w:rsidRDefault="00A878FE" w:rsidP="00FE306E">
            <w:pPr>
              <w:jc w:val="center"/>
            </w:pPr>
            <w:r>
              <w:t>25</w:t>
            </w:r>
          </w:p>
          <w:p w:rsidR="00A878FE" w:rsidRDefault="00A878FE" w:rsidP="00FE306E">
            <w:pPr>
              <w:jc w:val="center"/>
            </w:pPr>
            <w:r>
              <w:t>20</w:t>
            </w:r>
          </w:p>
          <w:p w:rsidR="00A878FE" w:rsidRDefault="00A878FE" w:rsidP="00FE306E">
            <w:pPr>
              <w:keepNext/>
              <w:jc w:val="center"/>
            </w:pPr>
            <w:r>
              <w:t>15</w:t>
            </w:r>
          </w:p>
        </w:tc>
      </w:tr>
    </w:tbl>
    <w:p w:rsidR="00A878FE" w:rsidRDefault="00A878FE" w:rsidP="00A878FE">
      <w:pPr>
        <w:pStyle w:val="Lgende"/>
      </w:pPr>
      <w:r>
        <w:t xml:space="preserve">Tableau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SEQ Tableau \* ARABIC \s 1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- Tableau D de la méthode Baron-Ollivier</w:t>
      </w:r>
    </w:p>
    <w:p w:rsidR="00A878FE" w:rsidRDefault="00A878FE" w:rsidP="00A878FE">
      <w:r>
        <w:t>La valeur par défaut, inscrite en dur, dans le logiciel est 13% (voir figure ci-dessus).</w:t>
      </w:r>
    </w:p>
    <w:p w:rsidR="00A878FE" w:rsidRDefault="00A878FE" w:rsidP="00A878FE">
      <w:r>
        <w:t>Vous avez la possibilité de la modifier en vous rendant dans cet onglet et en remplaçant 13% par une autre valeur (voir l’exemple 3.2).</w:t>
      </w:r>
    </w:p>
    <w:p w:rsidR="00A878FE" w:rsidRPr="009D54AA" w:rsidRDefault="00A878FE" w:rsidP="00A878FE">
      <w:r>
        <w:t>La valeur indiquée doit être en pourcentage. Ainsi si vous souhaitez majorer de 5%, il vous faudra inscrire dans le champ de texte, 5 et pas 1,05. Ainsi, dans le champ de texte ci-dessus, il est inscrit 13 soit 13% soit un coefficient majorateur de 1,13.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A878FE">
        <w:t>18 juin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A878FE" w:rsidRDefault="00A878FE" w:rsidP="00A878FE">
      <w:pPr>
        <w:pStyle w:val="Paragraphedeliste"/>
        <w:numPr>
          <w:ilvl w:val="0"/>
          <w:numId w:val="13"/>
        </w:numPr>
        <w:jc w:val="both"/>
      </w:pPr>
      <w:r>
        <w:t xml:space="preserve">« Le matériau béton : Connaissances générales » - Collection Les cours de l’ENTPE – G. </w:t>
      </w:r>
      <w:proofErr w:type="spellStart"/>
      <w:r>
        <w:t>Chanvillard</w:t>
      </w:r>
      <w:proofErr w:type="spellEnd"/>
      <w:r>
        <w:t xml:space="preserve"> - Edition ENTPE ALEAS 1999</w:t>
      </w:r>
    </w:p>
    <w:p w:rsidR="00A92EEB" w:rsidRDefault="00A878FE" w:rsidP="00B2081F">
      <w:pPr>
        <w:pStyle w:val="Paragraphedeliste"/>
        <w:numPr>
          <w:ilvl w:val="0"/>
          <w:numId w:val="1"/>
        </w:numPr>
        <w:spacing w:line="240" w:lineRule="auto"/>
        <w:jc w:val="both"/>
      </w:pPr>
      <w:r w:rsidRPr="00DA113E">
        <w:t xml:space="preserve">« Les bétons – Bases et données pour leur formulation » écrit sous la direction de Jacques Baron et </w:t>
      </w:r>
      <w:proofErr w:type="spellStart"/>
      <w:r w:rsidRPr="00DA113E">
        <w:t>Jean-pierre</w:t>
      </w:r>
      <w:proofErr w:type="spellEnd"/>
      <w:r w:rsidRPr="00DA113E">
        <w:t xml:space="preserve"> Ollivier et paru aux Editions Eyrolles</w:t>
      </w:r>
      <w:r>
        <w:t xml:space="preserve"> 1996.</w:t>
      </w:r>
      <w:bookmarkStart w:id="0" w:name="_GoBack"/>
      <w:bookmarkEnd w:id="0"/>
    </w:p>
    <w:sectPr w:rsidR="00A92EEB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401B8"/>
    <w:multiLevelType w:val="hybridMultilevel"/>
    <w:tmpl w:val="21007F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D1215"/>
    <w:multiLevelType w:val="hybridMultilevel"/>
    <w:tmpl w:val="A9A6EC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864454"/>
    <w:multiLevelType w:val="hybridMultilevel"/>
    <w:tmpl w:val="19C29A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1"/>
  </w:num>
  <w:num w:numId="8">
    <w:abstractNumId w:val="15"/>
  </w:num>
  <w:num w:numId="9">
    <w:abstractNumId w:val="4"/>
  </w:num>
  <w:num w:numId="10">
    <w:abstractNumId w:val="9"/>
  </w:num>
  <w:num w:numId="11">
    <w:abstractNumId w:val="10"/>
  </w:num>
  <w:num w:numId="12">
    <w:abstractNumId w:val="12"/>
  </w:num>
  <w:num w:numId="13">
    <w:abstractNumId w:val="16"/>
  </w:num>
  <w:num w:numId="14">
    <w:abstractNumId w:val="17"/>
  </w:num>
  <w:num w:numId="15">
    <w:abstractNumId w:val="18"/>
  </w:num>
  <w:num w:numId="16">
    <w:abstractNumId w:val="3"/>
  </w:num>
  <w:num w:numId="17">
    <w:abstractNumId w:val="2"/>
  </w:num>
  <w:num w:numId="18">
    <w:abstractNumId w:val="14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D6662"/>
    <w:rsid w:val="008E3454"/>
    <w:rsid w:val="008F4025"/>
    <w:rsid w:val="008F6CB7"/>
    <w:rsid w:val="00902D2C"/>
    <w:rsid w:val="00923F20"/>
    <w:rsid w:val="009306D1"/>
    <w:rsid w:val="00946577"/>
    <w:rsid w:val="0096305B"/>
    <w:rsid w:val="00983E27"/>
    <w:rsid w:val="009B79DA"/>
    <w:rsid w:val="00A878FE"/>
    <w:rsid w:val="00A92EEB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54688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D40EE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A92EEB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92E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9</cp:revision>
  <dcterms:created xsi:type="dcterms:W3CDTF">2025-11-16T14:41:00Z</dcterms:created>
  <dcterms:modified xsi:type="dcterms:W3CDTF">2026-06-18T09:10:00Z</dcterms:modified>
</cp:coreProperties>
</file>